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DA" w:rsidRPr="00344FB9" w:rsidRDefault="00795FA6" w:rsidP="003232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FB9">
        <w:rPr>
          <w:rFonts w:ascii="Times New Roman" w:hAnsi="Times New Roman" w:cs="Times New Roman"/>
          <w:b/>
          <w:sz w:val="26"/>
          <w:szCs w:val="26"/>
        </w:rPr>
        <w:t>SENADO REGULAMENTA ENTIDADES MUNICIPALISTAS</w:t>
      </w:r>
    </w:p>
    <w:p w:rsidR="00795FA6" w:rsidRPr="00344FB9" w:rsidRDefault="00344FB9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95FA6" w:rsidRPr="00344FB9">
        <w:rPr>
          <w:rFonts w:ascii="Times New Roman" w:hAnsi="Times New Roman" w:cs="Times New Roman"/>
          <w:sz w:val="26"/>
          <w:szCs w:val="26"/>
        </w:rPr>
        <w:t xml:space="preserve">O Senado Federal, por intermédio do PLS 486/2017, da relatoria do Senador </w:t>
      </w:r>
      <w:proofErr w:type="spellStart"/>
      <w:r w:rsidR="00795FA6" w:rsidRPr="00344FB9">
        <w:rPr>
          <w:rFonts w:ascii="Times New Roman" w:hAnsi="Times New Roman" w:cs="Times New Roman"/>
          <w:sz w:val="26"/>
          <w:szCs w:val="26"/>
        </w:rPr>
        <w:t>Lasier</w:t>
      </w:r>
      <w:proofErr w:type="spellEnd"/>
      <w:r w:rsidR="00795FA6" w:rsidRPr="00344FB9">
        <w:rPr>
          <w:rFonts w:ascii="Times New Roman" w:hAnsi="Times New Roman" w:cs="Times New Roman"/>
          <w:sz w:val="26"/>
          <w:szCs w:val="26"/>
        </w:rPr>
        <w:t xml:space="preserve"> Martins, está regulamentando e consolidando o municipalismo através de norma que estabelece a forma e os procedimentos legais para as </w:t>
      </w:r>
      <w:r w:rsidR="00716254" w:rsidRPr="00344FB9">
        <w:rPr>
          <w:rFonts w:ascii="Times New Roman" w:hAnsi="Times New Roman" w:cs="Times New Roman"/>
          <w:sz w:val="26"/>
          <w:szCs w:val="26"/>
        </w:rPr>
        <w:t>Associações</w:t>
      </w:r>
      <w:r w:rsidR="00795FA6" w:rsidRPr="00344FB9">
        <w:rPr>
          <w:rFonts w:ascii="Times New Roman" w:hAnsi="Times New Roman" w:cs="Times New Roman"/>
          <w:sz w:val="26"/>
          <w:szCs w:val="26"/>
        </w:rPr>
        <w:t xml:space="preserve"> </w:t>
      </w:r>
      <w:r w:rsidR="00716254" w:rsidRPr="00344FB9">
        <w:rPr>
          <w:rFonts w:ascii="Times New Roman" w:hAnsi="Times New Roman" w:cs="Times New Roman"/>
          <w:sz w:val="26"/>
          <w:szCs w:val="26"/>
        </w:rPr>
        <w:t xml:space="preserve">Regionais de Municípios, </w:t>
      </w:r>
      <w:r w:rsidR="00795FA6" w:rsidRPr="00344FB9">
        <w:rPr>
          <w:rFonts w:ascii="Times New Roman" w:hAnsi="Times New Roman" w:cs="Times New Roman"/>
          <w:sz w:val="26"/>
          <w:szCs w:val="26"/>
        </w:rPr>
        <w:t xml:space="preserve">Federações estaduais e a CNM em nível Nacional. </w:t>
      </w:r>
    </w:p>
    <w:p w:rsidR="00795FA6" w:rsidRPr="00344FB9" w:rsidRDefault="00344FB9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95FA6" w:rsidRPr="00344FB9">
        <w:rPr>
          <w:rFonts w:ascii="Times New Roman" w:hAnsi="Times New Roman" w:cs="Times New Roman"/>
          <w:sz w:val="26"/>
          <w:szCs w:val="26"/>
        </w:rPr>
        <w:t xml:space="preserve">O projeto de lei já </w:t>
      </w:r>
      <w:r w:rsidR="00716254" w:rsidRPr="00344FB9">
        <w:rPr>
          <w:rFonts w:ascii="Times New Roman" w:hAnsi="Times New Roman" w:cs="Times New Roman"/>
          <w:sz w:val="26"/>
          <w:szCs w:val="26"/>
        </w:rPr>
        <w:t>foi aprovado</w:t>
      </w:r>
      <w:r w:rsidR="00795FA6" w:rsidRPr="00344FB9">
        <w:rPr>
          <w:rFonts w:ascii="Times New Roman" w:hAnsi="Times New Roman" w:cs="Times New Roman"/>
          <w:sz w:val="26"/>
          <w:szCs w:val="26"/>
        </w:rPr>
        <w:t xml:space="preserve"> por unanimidade pela Comissão de Assu</w:t>
      </w:r>
      <w:r w:rsidR="00716254" w:rsidRPr="00344FB9">
        <w:rPr>
          <w:rFonts w:ascii="Times New Roman" w:hAnsi="Times New Roman" w:cs="Times New Roman"/>
          <w:sz w:val="26"/>
          <w:szCs w:val="26"/>
        </w:rPr>
        <w:t>n</w:t>
      </w:r>
      <w:r w:rsidR="00795FA6" w:rsidRPr="00344FB9">
        <w:rPr>
          <w:rFonts w:ascii="Times New Roman" w:hAnsi="Times New Roman" w:cs="Times New Roman"/>
          <w:sz w:val="26"/>
          <w:szCs w:val="26"/>
        </w:rPr>
        <w:t xml:space="preserve">tos Econômicos do Senado e vai para votação da Comissão de Constituição e Justiça. Pelo texto, </w:t>
      </w:r>
      <w:r w:rsidR="00716254" w:rsidRPr="00344FB9">
        <w:rPr>
          <w:rFonts w:ascii="Times New Roman" w:hAnsi="Times New Roman" w:cs="Times New Roman"/>
          <w:sz w:val="26"/>
          <w:szCs w:val="26"/>
        </w:rPr>
        <w:t>as entidades poderão atuar na defesa dos in</w:t>
      </w:r>
      <w:r w:rsidR="00E32180" w:rsidRPr="00344FB9">
        <w:rPr>
          <w:rFonts w:ascii="Times New Roman" w:hAnsi="Times New Roman" w:cs="Times New Roman"/>
          <w:sz w:val="26"/>
          <w:szCs w:val="26"/>
        </w:rPr>
        <w:t>teresses gerais dos Municípios. Tal previsão está expressa no art. 3º do PLS que diz:</w:t>
      </w:r>
    </w:p>
    <w:p w:rsidR="00E32180" w:rsidRPr="00344FB9" w:rsidRDefault="00E32180" w:rsidP="00344FB9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FB9">
        <w:rPr>
          <w:rFonts w:ascii="Times New Roman" w:hAnsi="Times New Roman" w:cs="Times New Roman"/>
          <w:b/>
          <w:sz w:val="26"/>
          <w:szCs w:val="26"/>
        </w:rPr>
        <w:t>Art. 3º As associações municipais terão como finalidade precípua a defesa de interesses comuns, de caráter político-representativo, técnico, científico, educacional, cultural e social de seus associados.</w:t>
      </w:r>
    </w:p>
    <w:p w:rsidR="00E32180" w:rsidRPr="00344FB9" w:rsidRDefault="00344FB9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E0A2E" w:rsidRPr="00344FB9">
        <w:rPr>
          <w:rFonts w:ascii="Times New Roman" w:hAnsi="Times New Roman" w:cs="Times New Roman"/>
          <w:sz w:val="26"/>
          <w:szCs w:val="26"/>
        </w:rPr>
        <w:t>A manutenção administrativa, as ações e proj</w:t>
      </w:r>
      <w:r w:rsidR="00304B30">
        <w:rPr>
          <w:rFonts w:ascii="Times New Roman" w:hAnsi="Times New Roman" w:cs="Times New Roman"/>
          <w:sz w:val="26"/>
          <w:szCs w:val="26"/>
        </w:rPr>
        <w:t>etos das entidades serão mantido</w:t>
      </w:r>
      <w:r w:rsidR="00AE0A2E" w:rsidRPr="00344FB9">
        <w:rPr>
          <w:rFonts w:ascii="Times New Roman" w:hAnsi="Times New Roman" w:cs="Times New Roman"/>
          <w:sz w:val="26"/>
          <w:szCs w:val="26"/>
        </w:rPr>
        <w:t xml:space="preserve">s pelas contribuições de cada ente municipal, bastando apenas constar do orçamento sem necessidade de norma específica. </w:t>
      </w:r>
    </w:p>
    <w:p w:rsidR="00AE0A2E" w:rsidRPr="00344FB9" w:rsidRDefault="00344FB9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E7BD8">
        <w:rPr>
          <w:rFonts w:ascii="Times New Roman" w:hAnsi="Times New Roman" w:cs="Times New Roman"/>
          <w:sz w:val="26"/>
          <w:szCs w:val="26"/>
        </w:rPr>
        <w:t>Ponto importante do PL</w:t>
      </w:r>
      <w:r w:rsidR="00AE0A2E" w:rsidRPr="00344FB9">
        <w:rPr>
          <w:rFonts w:ascii="Times New Roman" w:hAnsi="Times New Roman" w:cs="Times New Roman"/>
          <w:sz w:val="26"/>
          <w:szCs w:val="26"/>
        </w:rPr>
        <w:t xml:space="preserve"> diz respeito </w:t>
      </w:r>
      <w:proofErr w:type="gramStart"/>
      <w:r w:rsidR="00AE0A2E" w:rsidRPr="00344FB9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AE0A2E" w:rsidRPr="00344FB9">
        <w:rPr>
          <w:rFonts w:ascii="Times New Roman" w:hAnsi="Times New Roman" w:cs="Times New Roman"/>
          <w:sz w:val="26"/>
          <w:szCs w:val="26"/>
        </w:rPr>
        <w:t xml:space="preserve"> forma de prestação de contas e a definição da impossibilidade das associações serem fiscalizadas pelo Tribunal de Contas</w:t>
      </w:r>
      <w:r w:rsidR="008E7BD8">
        <w:rPr>
          <w:rFonts w:ascii="Times New Roman" w:hAnsi="Times New Roman" w:cs="Times New Roman"/>
          <w:sz w:val="26"/>
          <w:szCs w:val="26"/>
        </w:rPr>
        <w:t xml:space="preserve"> diretamente</w:t>
      </w:r>
      <w:r w:rsidR="00AE0A2E" w:rsidRPr="00344FB9">
        <w:rPr>
          <w:rFonts w:ascii="Times New Roman" w:hAnsi="Times New Roman" w:cs="Times New Roman"/>
          <w:sz w:val="26"/>
          <w:szCs w:val="26"/>
        </w:rPr>
        <w:t>. No art. 5º, § 3º, tal situação resta clara e inequívoca:</w:t>
      </w:r>
    </w:p>
    <w:p w:rsidR="00AE0A2E" w:rsidRPr="00344FB9" w:rsidRDefault="00AE0A2E" w:rsidP="00344FB9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FB9">
        <w:rPr>
          <w:rFonts w:ascii="Times New Roman" w:hAnsi="Times New Roman" w:cs="Times New Roman"/>
          <w:b/>
          <w:sz w:val="26"/>
          <w:szCs w:val="26"/>
        </w:rPr>
        <w:t>Art. 5º...</w:t>
      </w:r>
    </w:p>
    <w:p w:rsidR="00AE0A2E" w:rsidRPr="00344FB9" w:rsidRDefault="00AE0A2E" w:rsidP="00344FB9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344FB9">
        <w:rPr>
          <w:rFonts w:ascii="Times New Roman" w:hAnsi="Times New Roman" w:cs="Times New Roman"/>
          <w:b/>
          <w:sz w:val="26"/>
          <w:szCs w:val="26"/>
        </w:rPr>
        <w:t>§ 3º Os Tribunais de Contas exercerão controle externo de forma indireta sobre as associações, por ocasião da apreciação das contas dos municípios associados</w:t>
      </w:r>
      <w:r w:rsidRPr="00344FB9">
        <w:rPr>
          <w:rFonts w:ascii="Times New Roman" w:hAnsi="Times New Roman" w:cs="Times New Roman"/>
          <w:sz w:val="26"/>
          <w:szCs w:val="26"/>
        </w:rPr>
        <w:t>.</w:t>
      </w:r>
    </w:p>
    <w:p w:rsidR="00AE0A2E" w:rsidRPr="00344FB9" w:rsidRDefault="00344FB9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E0A2E" w:rsidRPr="00344FB9">
        <w:rPr>
          <w:rFonts w:ascii="Times New Roman" w:hAnsi="Times New Roman" w:cs="Times New Roman"/>
          <w:sz w:val="26"/>
          <w:szCs w:val="26"/>
        </w:rPr>
        <w:t xml:space="preserve">Ou seja, somente poderá ser fiscalizado o ente municipal que repassou o valor mensal mediante, se for o caso, da prestação de contas das atividades desenvolvidas ao longo do período. Assim, ficará resolvida uma dúvida acerca do fato que tem provocado interpretações </w:t>
      </w:r>
      <w:r w:rsidR="008E7BD8">
        <w:rPr>
          <w:rFonts w:ascii="Times New Roman" w:hAnsi="Times New Roman" w:cs="Times New Roman"/>
          <w:sz w:val="26"/>
          <w:szCs w:val="26"/>
        </w:rPr>
        <w:t>divergentes</w:t>
      </w:r>
      <w:r w:rsidR="00AE0A2E" w:rsidRPr="00344FB9">
        <w:rPr>
          <w:rFonts w:ascii="Times New Roman" w:hAnsi="Times New Roman" w:cs="Times New Roman"/>
          <w:sz w:val="26"/>
          <w:szCs w:val="26"/>
        </w:rPr>
        <w:t>.</w:t>
      </w:r>
    </w:p>
    <w:p w:rsidR="00AE0A2E" w:rsidRPr="00344FB9" w:rsidRDefault="00344FB9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E0A2E" w:rsidRPr="00344FB9">
        <w:rPr>
          <w:rFonts w:ascii="Times New Roman" w:hAnsi="Times New Roman" w:cs="Times New Roman"/>
          <w:sz w:val="26"/>
          <w:szCs w:val="26"/>
        </w:rPr>
        <w:t xml:space="preserve">Quanto às contratações, as “As associações de municípios realizarão seleção de pessoal e contratação de bens e serviços com base em </w:t>
      </w:r>
      <w:r w:rsidR="00AE0A2E" w:rsidRPr="008E7BD8">
        <w:rPr>
          <w:rFonts w:ascii="Times New Roman" w:hAnsi="Times New Roman" w:cs="Times New Roman"/>
          <w:sz w:val="26"/>
          <w:szCs w:val="26"/>
          <w:u w:val="single"/>
        </w:rPr>
        <w:t>procedimentos próprios</w:t>
      </w:r>
      <w:r w:rsidR="00AE0A2E" w:rsidRPr="00344FB9">
        <w:rPr>
          <w:rFonts w:ascii="Times New Roman" w:hAnsi="Times New Roman" w:cs="Times New Roman"/>
          <w:sz w:val="26"/>
          <w:szCs w:val="26"/>
        </w:rPr>
        <w:t xml:space="preserve"> que respeitem os princípios da impessoalidade, da moralidade, da igualdade, da publicidade, da eficiência.</w:t>
      </w:r>
      <w:r w:rsidR="00440AA6" w:rsidRPr="00344FB9">
        <w:rPr>
          <w:rFonts w:ascii="Times New Roman" w:hAnsi="Times New Roman" w:cs="Times New Roman"/>
          <w:sz w:val="26"/>
          <w:szCs w:val="26"/>
        </w:rPr>
        <w:t>” Portanto, ao longo do processo de ajustes de dois anos, dever</w:t>
      </w:r>
      <w:r w:rsidR="008E7BD8">
        <w:rPr>
          <w:rFonts w:ascii="Times New Roman" w:hAnsi="Times New Roman" w:cs="Times New Roman"/>
          <w:sz w:val="26"/>
          <w:szCs w:val="26"/>
        </w:rPr>
        <w:t>á</w:t>
      </w:r>
      <w:r w:rsidR="00440AA6" w:rsidRPr="00344FB9">
        <w:rPr>
          <w:rFonts w:ascii="Times New Roman" w:hAnsi="Times New Roman" w:cs="Times New Roman"/>
          <w:sz w:val="26"/>
          <w:szCs w:val="26"/>
        </w:rPr>
        <w:t xml:space="preserve"> ser elaborado procedimento uniforme para todas as entidades visando fixar critérios para tais contratos, seja de pessoal ou de fornecedores e prestadores de serviço.</w:t>
      </w:r>
    </w:p>
    <w:p w:rsidR="008E7BD8" w:rsidRDefault="00344FB9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1675D" w:rsidRPr="00344FB9">
        <w:rPr>
          <w:rFonts w:ascii="Times New Roman" w:hAnsi="Times New Roman" w:cs="Times New Roman"/>
          <w:sz w:val="26"/>
          <w:szCs w:val="26"/>
        </w:rPr>
        <w:t xml:space="preserve">Mas é no art. 9º do projeto que restam consolidadas as situações mais importantes e de grande interesse para o municipalismo, pois estará sendo gerada a segurança jurídica desejada pelas entidades. </w:t>
      </w:r>
    </w:p>
    <w:p w:rsidR="00440AA6" w:rsidRPr="00344FB9" w:rsidRDefault="008E7BD8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1675D" w:rsidRPr="00344FB9">
        <w:rPr>
          <w:rFonts w:ascii="Times New Roman" w:hAnsi="Times New Roman" w:cs="Times New Roman"/>
          <w:sz w:val="26"/>
          <w:szCs w:val="26"/>
        </w:rPr>
        <w:t>Além de poder estabelecer a estrutura orgânica interna e de promover intercâmbios, as associações poderão ‘– manifestar-se em processos legislativos em que se discutam temas de interesse dos municípios brasileiros’. Essa inserção junto aos legislativos estaduais e Congresso Nacional representa um significativo avanço na participação municipal</w:t>
      </w:r>
      <w:r w:rsidR="00D95225" w:rsidRPr="00344FB9">
        <w:rPr>
          <w:rFonts w:ascii="Times New Roman" w:hAnsi="Times New Roman" w:cs="Times New Roman"/>
          <w:sz w:val="26"/>
          <w:szCs w:val="26"/>
        </w:rPr>
        <w:t xml:space="preserve"> nos assuntos de interesse local.</w:t>
      </w:r>
    </w:p>
    <w:p w:rsidR="00D95225" w:rsidRPr="00344FB9" w:rsidRDefault="00344FB9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64D4" w:rsidRPr="00344FB9">
        <w:rPr>
          <w:rFonts w:ascii="Times New Roman" w:hAnsi="Times New Roman" w:cs="Times New Roman"/>
          <w:sz w:val="26"/>
          <w:szCs w:val="26"/>
        </w:rPr>
        <w:t>Também a entidade poderá ‘postular em juízo, em ações individuais ou coletivas’, na defesa dos interesses dos municípios, mediante autorização expressa de cada ente federado</w:t>
      </w:r>
      <w:r w:rsidR="006B443E" w:rsidRPr="00344FB9">
        <w:rPr>
          <w:rFonts w:ascii="Times New Roman" w:hAnsi="Times New Roman" w:cs="Times New Roman"/>
          <w:sz w:val="26"/>
          <w:szCs w:val="26"/>
        </w:rPr>
        <w:t>, bem como ser um representante junto aos órgãos est</w:t>
      </w:r>
      <w:r w:rsidR="008E7BD8">
        <w:rPr>
          <w:rFonts w:ascii="Times New Roman" w:hAnsi="Times New Roman" w:cs="Times New Roman"/>
          <w:sz w:val="26"/>
          <w:szCs w:val="26"/>
        </w:rPr>
        <w:t>ad</w:t>
      </w:r>
      <w:r w:rsidR="006B443E" w:rsidRPr="00344FB9">
        <w:rPr>
          <w:rFonts w:ascii="Times New Roman" w:hAnsi="Times New Roman" w:cs="Times New Roman"/>
          <w:sz w:val="26"/>
          <w:szCs w:val="26"/>
        </w:rPr>
        <w:t>uais e federais</w:t>
      </w:r>
      <w:r w:rsidR="002D64D4" w:rsidRPr="00344FB9">
        <w:rPr>
          <w:rFonts w:ascii="Times New Roman" w:hAnsi="Times New Roman" w:cs="Times New Roman"/>
          <w:sz w:val="26"/>
          <w:szCs w:val="26"/>
        </w:rPr>
        <w:t>.</w:t>
      </w:r>
    </w:p>
    <w:p w:rsidR="006B443E" w:rsidRPr="00344FB9" w:rsidRDefault="00344FB9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443E" w:rsidRPr="00344FB9">
        <w:rPr>
          <w:rFonts w:ascii="Times New Roman" w:hAnsi="Times New Roman" w:cs="Times New Roman"/>
          <w:sz w:val="26"/>
          <w:szCs w:val="26"/>
        </w:rPr>
        <w:t>Já nos incisos VI e VII do artigo em exame, o projeto autoriza expressamente a constituição de apoio técnico na defesa dos interesses comuns em processos administrativos perante o Tribunal de Contas e Ministério Público. Discussões intermináveis como terceirização de serviços, contratações temporárias, interpretação de normas que divergem auditores e promotores em relação aos atos praticados pelo gestor, podem ser assumidas pelas entidades.</w:t>
      </w:r>
    </w:p>
    <w:p w:rsidR="006B443E" w:rsidRPr="00344FB9" w:rsidRDefault="00344FB9" w:rsidP="00323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443E" w:rsidRPr="00344FB9">
        <w:rPr>
          <w:rFonts w:ascii="Times New Roman" w:hAnsi="Times New Roman" w:cs="Times New Roman"/>
          <w:sz w:val="26"/>
          <w:szCs w:val="26"/>
        </w:rPr>
        <w:t>De igual forma, as entidades podem criar programas, mecanismos, projetos, serviços e procedimentos que auxiliem os associados municipais em assuntos de interesse comum. Ou seja, as associações podem criar meios de assessor</w:t>
      </w:r>
      <w:r w:rsidR="008E7BD8">
        <w:rPr>
          <w:rFonts w:ascii="Times New Roman" w:hAnsi="Times New Roman" w:cs="Times New Roman"/>
          <w:sz w:val="26"/>
          <w:szCs w:val="26"/>
        </w:rPr>
        <w:t>i</w:t>
      </w:r>
      <w:r w:rsidR="006B443E" w:rsidRPr="00344FB9">
        <w:rPr>
          <w:rFonts w:ascii="Times New Roman" w:hAnsi="Times New Roman" w:cs="Times New Roman"/>
          <w:sz w:val="26"/>
          <w:szCs w:val="26"/>
        </w:rPr>
        <w:t xml:space="preserve">a e prestar assistência nas mais diversas áreas de atuação, pois sempre será mais vantajoso e econômico para o erário, atuar em bloco na busca de tais serviços. </w:t>
      </w:r>
    </w:p>
    <w:p w:rsidR="006B443E" w:rsidRPr="00344FB9" w:rsidRDefault="006B443E" w:rsidP="00344FB9">
      <w:pPr>
        <w:spacing w:line="240" w:lineRule="auto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FB9">
        <w:rPr>
          <w:rFonts w:ascii="Times New Roman" w:hAnsi="Times New Roman" w:cs="Times New Roman"/>
          <w:b/>
          <w:sz w:val="26"/>
          <w:szCs w:val="26"/>
        </w:rPr>
        <w:t xml:space="preserve">VI – apoiar a defesa dos interesses comuns dos municípios em processos administrativos que tramitem perante os Tribunais de Contas e órgãos do Ministério Público; </w:t>
      </w:r>
    </w:p>
    <w:p w:rsidR="006B443E" w:rsidRPr="00344FB9" w:rsidRDefault="006B443E" w:rsidP="00344FB9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344FB9">
        <w:rPr>
          <w:rFonts w:ascii="Times New Roman" w:hAnsi="Times New Roman" w:cs="Times New Roman"/>
          <w:b/>
          <w:sz w:val="26"/>
          <w:szCs w:val="26"/>
        </w:rPr>
        <w:t>VII – constituir programas de assessoramento e assistência para seus filiados, quando relativos a assuntos de interesse comum;</w:t>
      </w:r>
    </w:p>
    <w:p w:rsidR="008E7BD8" w:rsidRDefault="008E7BD8" w:rsidP="00344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 texto faz clara distinção entre o serviço que pode ser prestado pelas associações, que são de natureza técnica nas mais diversas áreas de atuação e prestados diretamente ao ente municipal, daqueles serviços públicos em substituição a pessoa jurídica de direito público. Tais serviços somente poderão ser prestados por consórcios, entidades públicas legitimadas pela Lei 11.107/2005, para execução de serviços no lugar do ente federado.</w:t>
      </w:r>
    </w:p>
    <w:p w:rsidR="00344FB9" w:rsidRDefault="008E7BD8" w:rsidP="00344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44FB9" w:rsidRPr="00344FB9">
        <w:rPr>
          <w:rFonts w:ascii="Times New Roman" w:hAnsi="Times New Roman" w:cs="Times New Roman"/>
          <w:sz w:val="26"/>
          <w:szCs w:val="26"/>
        </w:rPr>
        <w:t xml:space="preserve">As demais previsões da lei estão ajustadas às exigências do Código Civil Brasileiro e não refletem na atuação cotidiana das entidades. O fato </w:t>
      </w:r>
      <w:r>
        <w:rPr>
          <w:rFonts w:ascii="Times New Roman" w:hAnsi="Times New Roman" w:cs="Times New Roman"/>
          <w:sz w:val="26"/>
          <w:szCs w:val="26"/>
        </w:rPr>
        <w:t>a ser</w:t>
      </w:r>
      <w:r w:rsidR="00344FB9" w:rsidRPr="00344FB9">
        <w:rPr>
          <w:rFonts w:ascii="Times New Roman" w:hAnsi="Times New Roman" w:cs="Times New Roman"/>
          <w:sz w:val="26"/>
          <w:szCs w:val="26"/>
        </w:rPr>
        <w:t xml:space="preserve"> destacado é que o PL concede aos entes municipais o período de dois anos para as adequações, alteração de estatutos, criação de procedimentos internos para contratação de pessoal e de bens e serviços e outras situações pertinentes.</w:t>
      </w:r>
    </w:p>
    <w:p w:rsidR="00BD4558" w:rsidRPr="00344FB9" w:rsidRDefault="00BD4558" w:rsidP="00344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BD8" w:rsidRDefault="00344FB9" w:rsidP="00344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4FB9">
        <w:rPr>
          <w:rFonts w:ascii="Times New Roman" w:hAnsi="Times New Roman" w:cs="Times New Roman"/>
          <w:sz w:val="26"/>
          <w:szCs w:val="26"/>
        </w:rPr>
        <w:t xml:space="preserve">Importante por fim referir que o projeto de lei original, proposto pelo Senador Antonio </w:t>
      </w:r>
      <w:proofErr w:type="spellStart"/>
      <w:r w:rsidRPr="00344FB9">
        <w:rPr>
          <w:rFonts w:ascii="Times New Roman" w:hAnsi="Times New Roman" w:cs="Times New Roman"/>
          <w:sz w:val="26"/>
          <w:szCs w:val="26"/>
        </w:rPr>
        <w:t>Anastasia</w:t>
      </w:r>
      <w:proofErr w:type="spellEnd"/>
      <w:r w:rsidRPr="00344FB9">
        <w:rPr>
          <w:rFonts w:ascii="Times New Roman" w:hAnsi="Times New Roman" w:cs="Times New Roman"/>
          <w:sz w:val="26"/>
          <w:szCs w:val="26"/>
        </w:rPr>
        <w:t>, inobstante ter sido elaborado atendendo grande parte das reivindicações das entidades, efetivamente sofreu uma mudança expressiva e de inestimável valia</w:t>
      </w:r>
      <w:r w:rsidR="008E7BD8">
        <w:rPr>
          <w:rFonts w:ascii="Times New Roman" w:hAnsi="Times New Roman" w:cs="Times New Roman"/>
          <w:sz w:val="26"/>
          <w:szCs w:val="26"/>
        </w:rPr>
        <w:t xml:space="preserve"> e aperfeiçoamento</w:t>
      </w:r>
      <w:r w:rsidRPr="00344FB9">
        <w:rPr>
          <w:rFonts w:ascii="Times New Roman" w:hAnsi="Times New Roman" w:cs="Times New Roman"/>
          <w:sz w:val="26"/>
          <w:szCs w:val="26"/>
        </w:rPr>
        <w:t xml:space="preserve">, através da relatoria do Senador </w:t>
      </w:r>
      <w:proofErr w:type="spellStart"/>
      <w:r w:rsidRPr="00344FB9">
        <w:rPr>
          <w:rFonts w:ascii="Times New Roman" w:hAnsi="Times New Roman" w:cs="Times New Roman"/>
          <w:sz w:val="26"/>
          <w:szCs w:val="26"/>
        </w:rPr>
        <w:t>Lasier</w:t>
      </w:r>
      <w:proofErr w:type="spellEnd"/>
      <w:r w:rsidRPr="00344FB9">
        <w:rPr>
          <w:rFonts w:ascii="Times New Roman" w:hAnsi="Times New Roman" w:cs="Times New Roman"/>
          <w:sz w:val="26"/>
          <w:szCs w:val="26"/>
        </w:rPr>
        <w:t xml:space="preserve"> Martins. </w:t>
      </w:r>
    </w:p>
    <w:p w:rsidR="00344FB9" w:rsidRPr="00344FB9" w:rsidRDefault="008E7BD8" w:rsidP="00344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Neste sentido, o S</w:t>
      </w:r>
      <w:r w:rsidR="00344FB9" w:rsidRPr="00344FB9">
        <w:rPr>
          <w:rFonts w:ascii="Times New Roman" w:hAnsi="Times New Roman" w:cs="Times New Roman"/>
          <w:sz w:val="26"/>
          <w:szCs w:val="26"/>
        </w:rPr>
        <w:t xml:space="preserve">enador </w:t>
      </w:r>
      <w:r>
        <w:rPr>
          <w:rFonts w:ascii="Times New Roman" w:hAnsi="Times New Roman" w:cs="Times New Roman"/>
          <w:sz w:val="26"/>
          <w:szCs w:val="26"/>
        </w:rPr>
        <w:t xml:space="preserve">gaúcho </w:t>
      </w:r>
      <w:r w:rsidR="00344FB9" w:rsidRPr="00344FB9">
        <w:rPr>
          <w:rFonts w:ascii="Times New Roman" w:hAnsi="Times New Roman" w:cs="Times New Roman"/>
          <w:sz w:val="26"/>
          <w:szCs w:val="26"/>
        </w:rPr>
        <w:t xml:space="preserve">recebeu contribuição técnica da CNM - Confederação Nacional dos Municípios, da FAMURS - Federação das Associações de Municípios e da </w:t>
      </w:r>
      <w:proofErr w:type="gramStart"/>
      <w:r w:rsidR="00344FB9" w:rsidRPr="00344FB9">
        <w:rPr>
          <w:rFonts w:ascii="Times New Roman" w:hAnsi="Times New Roman" w:cs="Times New Roman"/>
          <w:sz w:val="26"/>
          <w:szCs w:val="26"/>
        </w:rPr>
        <w:t>CDP -Consultoria</w:t>
      </w:r>
      <w:proofErr w:type="gramEnd"/>
      <w:r w:rsidR="00344FB9" w:rsidRPr="00344FB9">
        <w:rPr>
          <w:rFonts w:ascii="Times New Roman" w:hAnsi="Times New Roman" w:cs="Times New Roman"/>
          <w:sz w:val="26"/>
          <w:szCs w:val="26"/>
        </w:rPr>
        <w:t xml:space="preserve"> em Direito Público</w:t>
      </w:r>
      <w:r>
        <w:rPr>
          <w:rFonts w:ascii="Times New Roman" w:hAnsi="Times New Roman" w:cs="Times New Roman"/>
          <w:sz w:val="26"/>
          <w:szCs w:val="26"/>
        </w:rPr>
        <w:t xml:space="preserve"> e acolheu os pontos principais das medidas, o que tornou o texto ajustado aos interesses e ao fortalecimento do municipalismo em todo o país</w:t>
      </w:r>
      <w:r w:rsidR="00344FB9" w:rsidRPr="00344F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4FB9" w:rsidRDefault="00344FB9" w:rsidP="00344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4FB9">
        <w:rPr>
          <w:rFonts w:ascii="Times New Roman" w:hAnsi="Times New Roman" w:cs="Times New Roman"/>
          <w:sz w:val="26"/>
          <w:szCs w:val="26"/>
        </w:rPr>
        <w:t xml:space="preserve">O PL 486/2017 segue para a Comissão de Constituição de Justiça do Senado para, em seguida, ser submetido </w:t>
      </w:r>
      <w:proofErr w:type="gramStart"/>
      <w:r w:rsidRPr="00344FB9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344FB9">
        <w:rPr>
          <w:rFonts w:ascii="Times New Roman" w:hAnsi="Times New Roman" w:cs="Times New Roman"/>
          <w:sz w:val="26"/>
          <w:szCs w:val="26"/>
        </w:rPr>
        <w:t xml:space="preserve"> votação do Plenário da Casa.</w:t>
      </w:r>
    </w:p>
    <w:p w:rsidR="00BD4558" w:rsidRDefault="00BD4558" w:rsidP="00344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É a nota sobre o PLS 486/2017.</w:t>
      </w:r>
    </w:p>
    <w:p w:rsidR="00BD4558" w:rsidRDefault="00BD4558" w:rsidP="00344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558" w:rsidRDefault="00BD4558" w:rsidP="00344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Porto Alegre, 27 de setembro de 2019.</w:t>
      </w:r>
    </w:p>
    <w:p w:rsidR="00BD4558" w:rsidRDefault="00BD4558" w:rsidP="00344F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558" w:rsidRPr="00BD4558" w:rsidRDefault="00BD4558" w:rsidP="00344FB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BD4558">
        <w:rPr>
          <w:rFonts w:ascii="Times New Roman" w:hAnsi="Times New Roman" w:cs="Times New Roman"/>
          <w:b/>
          <w:sz w:val="26"/>
          <w:szCs w:val="26"/>
        </w:rPr>
        <w:t>CDP – Consultoria em Direito Público</w:t>
      </w:r>
      <w:bookmarkEnd w:id="0"/>
    </w:p>
    <w:sectPr w:rsidR="00BD4558" w:rsidRPr="00BD4558" w:rsidSect="00BD4558">
      <w:headerReference w:type="default" r:id="rId7"/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44" w:rsidRDefault="00865444" w:rsidP="00865444">
      <w:pPr>
        <w:spacing w:after="0" w:line="240" w:lineRule="auto"/>
      </w:pPr>
      <w:r>
        <w:separator/>
      </w:r>
    </w:p>
  </w:endnote>
  <w:endnote w:type="continuationSeparator" w:id="0">
    <w:p w:rsidR="00865444" w:rsidRDefault="00865444" w:rsidP="0086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44" w:rsidRDefault="00865444" w:rsidP="00865444">
      <w:pPr>
        <w:spacing w:after="0" w:line="240" w:lineRule="auto"/>
      </w:pPr>
      <w:r>
        <w:separator/>
      </w:r>
    </w:p>
  </w:footnote>
  <w:footnote w:type="continuationSeparator" w:id="0">
    <w:p w:rsidR="00865444" w:rsidRDefault="00865444" w:rsidP="0086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44" w:rsidRDefault="00BD4558">
    <w:pPr>
      <w:pStyle w:val="Cabealho"/>
    </w:pPr>
    <w:r>
      <w:rPr>
        <w:noProof/>
        <w:lang w:eastAsia="pt-BR"/>
      </w:rPr>
      <w:drawing>
        <wp:inline distT="0" distB="0" distL="0" distR="0" wp14:anchorId="493E3ADC" wp14:editId="7364DE4A">
          <wp:extent cx="1409954" cy="774700"/>
          <wp:effectExtent l="0" t="0" r="0" b="635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954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6"/>
    <w:rsid w:val="002D64D4"/>
    <w:rsid w:val="00304B30"/>
    <w:rsid w:val="00323260"/>
    <w:rsid w:val="00344FB9"/>
    <w:rsid w:val="00440AA6"/>
    <w:rsid w:val="006B443E"/>
    <w:rsid w:val="00716254"/>
    <w:rsid w:val="00795FA6"/>
    <w:rsid w:val="00865444"/>
    <w:rsid w:val="008E7BD8"/>
    <w:rsid w:val="00AE0A2E"/>
    <w:rsid w:val="00BD4558"/>
    <w:rsid w:val="00D95225"/>
    <w:rsid w:val="00E32180"/>
    <w:rsid w:val="00E57DDA"/>
    <w:rsid w:val="00F1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444"/>
  </w:style>
  <w:style w:type="paragraph" w:styleId="Rodap">
    <w:name w:val="footer"/>
    <w:basedOn w:val="Normal"/>
    <w:link w:val="RodapChar"/>
    <w:uiPriority w:val="99"/>
    <w:unhideWhenUsed/>
    <w:rsid w:val="00865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444"/>
  </w:style>
  <w:style w:type="paragraph" w:styleId="Textodebalo">
    <w:name w:val="Balloon Text"/>
    <w:basedOn w:val="Normal"/>
    <w:link w:val="TextodebaloChar"/>
    <w:uiPriority w:val="99"/>
    <w:semiHidden/>
    <w:unhideWhenUsed/>
    <w:rsid w:val="00BD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444"/>
  </w:style>
  <w:style w:type="paragraph" w:styleId="Rodap">
    <w:name w:val="footer"/>
    <w:basedOn w:val="Normal"/>
    <w:link w:val="RodapChar"/>
    <w:uiPriority w:val="99"/>
    <w:unhideWhenUsed/>
    <w:rsid w:val="00865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444"/>
  </w:style>
  <w:style w:type="paragraph" w:styleId="Textodebalo">
    <w:name w:val="Balloon Text"/>
    <w:basedOn w:val="Normal"/>
    <w:link w:val="TextodebaloChar"/>
    <w:uiPriority w:val="99"/>
    <w:semiHidden/>
    <w:unhideWhenUsed/>
    <w:rsid w:val="00BD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Glademir</dc:creator>
  <cp:lastModifiedBy>Glademir</cp:lastModifiedBy>
  <cp:revision>8</cp:revision>
  <dcterms:created xsi:type="dcterms:W3CDTF">2019-09-26T00:22:00Z</dcterms:created>
  <dcterms:modified xsi:type="dcterms:W3CDTF">2019-09-26T19:21:00Z</dcterms:modified>
</cp:coreProperties>
</file>